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247 vom 13. Februar 1991</w:t>
      </w:r>
    </w:p>
    <w:p>
      <w:r>
        <w:t>Bundesgericht (BGE), 1991-02-13, DE</w:t>
      </w:r>
    </w:p>
    <w:p>
      <w:r>
        <w:rPr>
          <w:b/>
        </w:rPr>
        <w:t xml:space="preserve">Quelle: </w:t>
      </w:r>
      <w:r>
        <w:t>https://mcp.opencaselaw.ch/entscheid/bge_117 IA 247</w:t>
      </w:r>
    </w:p>
    <w:p>
      <w:r>
        <w:t>FR: BGE 117 IA 247 du 13 février 1991</w:t>
      </w:r>
    </w:p>
    <w:p>
      <w:r>
        <w:t>IT: BGE 117 IA 247 del 13 febbraio 1991</w:t>
      </w:r>
    </w:p>
    <w:p>
      <w:pPr>
        <w:pStyle w:val="Heading2"/>
      </w:pPr>
      <w:r>
        <w:t>Regeste</w:t>
      </w:r>
    </w:p>
    <w:p>
      <w:r>
        <w:t>Regeste Art. 87 OG; Beschwerde gegen einen Zwischenentscheid. 1. Eine Verfügung, mit welcher über ein Gesuch um Erteilung der aufschiebenden Wirkung entschieden wird, stellt einen Zwischenentscheid im Sinne von Art. 87 OG dar (E. 1). 2. Da die neben der Willkürrüge erhobene Rüge der Verletzung von Art. 22ter BV offensichtlich unbegründet ist, kommt Art. 87 OG zur Anwendung (E. 2). 3. Hinweis auf BGE 116 Ia 177; Vorliegen eines nicht wiedergutzumachenden Nachteils verneint, da das während des Verfahrens erstellte Barackenprovisorium im Falle einer Gutheissung der Beschwerde wieder entfernt werden könnte (E. 3).</w:t>
      </w:r>
    </w:p>
    <w:p>
      <w:pPr>
        <w:pStyle w:val="Heading2"/>
      </w:pPr>
      <w:r>
        <w:t>Erwägungen</w:t>
      </w:r>
    </w:p>
    <w:p>
      <w:r>
        <w:rPr>
          <w:b/>
        </w:rPr>
        <w:t>E. 1</w:t>
      </w:r>
    </w:p>
    <w:p>
      <w:r>
        <w:t>Die Beschwerde richtet sich gegen eine Verfügung des Appellationsgerichtspräsidenten. Gemäss § 17 des baselstädtischen Gesetzes vom 14. Juni 1928 über die Verwaltungsrechtspflege (VRPG) hemmt die Einreichung eines Rekurses die Vollstreckung des angefochtenen Entscheides nicht, es sei denn, dass der Präsident dies ausdrücklich anordnet. Gemäss § 24 VRPG trifft der Präsident die ihm nach § 17 VRPG zustehenden vorsorglichen Verfügungen von sich aus oder auf Antrag der Parteien. Im vorliegenden Fall hat der Präsident den ausdrücklich gestellten Antrag der Beschwerdeführerin, ihrem Rekurs sei aufschiebende Wirkung zuzubilligen, abgewiesen. Von keiner Seite wird geltend gemacht, diese Präsidialverfügung könne beim Gesamtgericht angefochten werden, weshalb davon auszugehen ist, dass eine kantonal letztinstanzliche Verfügung vorliegt. Diese schliesst jedoch das kantonale Verfahren nicht ab; es handelt sich somit um einen Zwischenentscheid ( BGE 116 Ia 179 E. 2a mit Hinweisen), was auch die Beschwerdeführerin anerkennt. BGE 117 Ia 247 S. 249</w:t>
      </w:r>
    </w:p>
    <w:p>
      <w:r>
        <w:rPr>
          <w:b/>
        </w:rPr>
        <w:t>E. 2</w:t>
      </w:r>
    </w:p>
    <w:p>
      <w:r>
        <w:t>Die Beschwerdeführerin nennt keinen bestimmten Artikel der Bundesverfassung, der durch die angefochtene Verfügung verletzt sein soll; aus ihren Vorbringen ergibt sich aber, dass sie die Ablehnung ihres Antrages als willkürlich erachtet, womit sie Art. 4 BV anruft. Zudem spricht sie von ihren verfassungsmässigen Eigentumsrechten ( Art. 22ter BV ), die wegen der von ihr befürchteten Immissionen verletzt sein sollen. Gemäss Art. 87 OG ist die staatsrechtliche Beschwerde wegen Verletzung von Art. 4 BV erst gegen letztinstanzliche Endentscheide zulässig, gegen letztinstanzliche Zwischenentscheide nur, wenn sie für den Betroffenen einen nicht wiedergutzumachenden Nachteil zur Folge haben. Werden neben der Rüge, Art. 4 BV sei verletzt, noch weitere Verfassungsverletzungen geltend gemacht, so tritt das Bundesgericht auf die Beschwerde in vollem Umfang ein, allerdings nur dann, wenn diese Rügen nicht mit derjenigen der Verletzung von Art. 4 BV zusammenfallen, somit selbständige Bedeutung haben, und nicht offensichtlich unzulässig oder unbegründet sind ( BGE 115 Ia 314 mit Hinweisen). Im Zusammenhang mit der Anrufung von Art. 22ter BV beschränkt sich die Beschwerdeführerin auf die Behauptung, die zu erwartenden Immissionen würden ihre verfassungsmässigen Eigentumsrechte aushöhlen. Diese Rüge genügt den gesetzlichen Anforderungen an die Begründung einer staatsrechtlichen Beschwerde ( Art. 90 Abs. 1 lit. b OG ) in keiner Weise. Die Beschwerdeführerin legt nicht dar, dass der von ihr behauptete Eingriff gesetzlichen Bestimmungen zuwiderlaufe oder dass er nicht im öffentlichen Interesse liege oder dass er unverhältnismässig sei. Die Berufung auf Art. 22ter BV ist daher offensichtlich unbegründet. Unter diesen Umständen ist zu prüfen, ob die angefochtene Verfügung für die Beschwerdeführerin einen nicht wiedergutzumachenden Nachteil zur Folge hat.</w:t>
      </w:r>
    </w:p>
    <w:p>
      <w:r>
        <w:rPr>
          <w:b/>
        </w:rPr>
        <w:t>E. 3</w:t>
      </w:r>
    </w:p>
    <w:p>
      <w:r>
        <w:t>Nach ständiger Rechtsprechung des Bundesgerichts bedarf es eines nicht wiedergutzumachenden Nachteils rechtlicher Natur, um einen Zwischenentscheid im Sinne von Art. 87 OG anfechten zu können; eine bloss tatsächliche Beeinträchtigung genügt nicht. Der Nachteil ist nur dann rechtlicher Natur, wenn er auch durch einen für den Betroffenen günstigen Endentscheid nicht mehr behoben werden könnte ( BGE 115 Ia 314 E. c; BGE 108 Ia 104 ). Dabei ist es nicht nötig, dass sich der Nachteil schon im kantonalen Verfahren durch einen günstigen Endentscheid beheben lässt. Es genügt, wenn er in einem anschliessenden bundesgerichtlichen Verfahren beseitigst werden kann ( BGE 99 Ia 249 f.; BGE 116 Ia 445 BGE 117 Ia 247 S. 250 E. 1 b). Die Beschwerdeführerin beruft sich in diesem Zusammenhang auf BGE 105 Ia 318 ff. Dieser Entscheid betraf die Nichtbeförderung eines Schülers. Das Bundesgericht stellte fest, dass ein Schüler bei Erfüllung der reglementarischen Voraussetzungen einen Rechtsanspruch auf Beförderung besitze. Die Verweigerung der aufschiebenden Wirkung eines Rekurses gegen eine Nichtbeförderung könne daher wegen des Ausfalls des Unterrichts in der höheren Klasse während der Dauer des Rekursverfahrens zu einem nicht wiedergutzumachenden rechtlichen Nachteil führen; im Falle eines für den Schüler günstigen Rekursentscheides sei ein nachträglicher Übertritt in die höhere Klasse nicht mehr möglich. Die Beschwerdeführerin ist der Meinung, in ihrem Fall sei der zu erwartende Nachteil in noch ausgeprägterem Masse gegeben. Sie begründet jedoch nicht, worin der zu erwartende rechtliche Nachteil liegen soll, wenn der Kanton Basel-Stadt auf der Nachbarliegenschaft mit dem Bau der Baracke auf sein eigenes Risiko beginnt. Dass sie die Bauarbeiten und den Betrieb auf der Nachbarparzelle während des Rekursverfahrens in Kauf nehmen muss, stellt keinen rechtlichen Nachteil, sondern bloss eine tatsächliche Beeinträchtigung dar. Sollte letztinstanzlich die Baubewilligung aufgehoben werden, so müsste der Kanton das Barackenprovisorium wieder beseitigen, worüber er sich im klaren ist. Im übrigen richtet sich der Rekurs gegen den Betrieb des sogenannten "Gassenzimmers", in welchem schwer suchtkranke Drogenabhängige sich unter hygienisch einwandfreien Verhältnissen ihre Droge sollen spritzen können. Sollte dieser Betrieb als unzulässig erklärt werden, so wäre er einzustellen, wobei es wohl nicht auszuschliessen wäre, dass die Baracke einem anderen Zweck zugeführt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